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12                                   </w:t>
      </w:r>
      <w:bookmarkStart w:id="3" w:name="_GoBack"/>
      <w:bookmarkEnd w:id="3"/>
      <w:r>
        <w:rPr>
          <w:rFonts w:hint="eastAsia" w:ascii="Arial" w:hAnsi="Arial" w:cs="Arial"/>
          <w:b/>
          <w:sz w:val="24"/>
          <w:szCs w:val="24"/>
          <w:lang w:val="en-US" w:eastAsia="zh-CN"/>
        </w:rPr>
        <w:t>R4-2412793</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M</w:t>
      </w:r>
      <w:r>
        <w:rPr>
          <w:rFonts w:hint="eastAsia" w:ascii="Arial" w:hAnsi="Arial" w:cs="Arial"/>
          <w:b/>
          <w:kern w:val="2"/>
          <w:sz w:val="24"/>
          <w:szCs w:val="24"/>
          <w:lang w:val="en-US" w:eastAsia="zh-CN" w:bidi="ar-SA"/>
        </w:rPr>
        <w:t>a</w:t>
      </w:r>
      <w:r>
        <w:rPr>
          <w:rFonts w:hint="eastAsia" w:ascii="Arial" w:hAnsi="Arial" w:eastAsia="宋体" w:cs="Arial"/>
          <w:b/>
          <w:kern w:val="2"/>
          <w:sz w:val="24"/>
          <w:szCs w:val="24"/>
          <w:lang w:val="en-US" w:eastAsia="zh-CN" w:bidi="ar-SA"/>
        </w:rPr>
        <w:t>astricht, Netherlands, 19 – 23 August, 2024</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spatial channel model for demodulation performance requirements</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8.14.2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study on spatial channel model for demodulation performance was approved in [1], wherein the study item includes the following objectives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val="0"/>
              <w:numPr>
                <w:ilvl w:val="0"/>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practical spatial channel modelling methodology for both SU- and MU-MIMO demodulation requirements and CSI reporting requirements: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Identify the limitations of the current (i.e. up to and including Release 18) channel models and corresponding scenarios and how they relate to UE MIMO performance</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Consider both Clustered Delay Line (CDL)-based and TDL-based channel modelling approaches</w:t>
            </w:r>
          </w:p>
          <w:p>
            <w:pPr>
              <w:pStyle w:val="33"/>
              <w:keepNext w:val="0"/>
              <w:keepLines w:val="0"/>
              <w:widowControl w:val="0"/>
              <w:numPr>
                <w:ilvl w:val="2"/>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For CDL-based channel modelling, use the tuned repeatable spatial channel model of TR38.827 as the starting point and identify any necessary changes.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and verify test methodology feasibility including test complexity and achievable results uncertainty. The test complexity shall not be significantly increased.</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szCs w:val="22"/>
                <w:vertAlign w:val="baseline"/>
                <w:lang w:val="en-US" w:eastAsia="zh-CN"/>
              </w:rPr>
            </w:pPr>
            <w:r>
              <w:rPr>
                <w:rFonts w:hint="default" w:eastAsia="Yu Mincho"/>
                <w:sz w:val="21"/>
                <w:szCs w:val="21"/>
                <w:lang w:eastAsia="zh-CN" w:bidi="hi-IN"/>
              </w:rPr>
              <w:t>The methodology shall include both FR1 (conducted) and FR2 (wireless cable), with first priority for FR1.</w:t>
            </w:r>
          </w:p>
        </w:tc>
      </w:tr>
    </w:tbl>
    <w:p>
      <w:pPr>
        <w:spacing w:before="120" w:after="120"/>
        <w:rPr>
          <w:rFonts w:hint="default"/>
          <w:lang w:val="en-US" w:eastAsia="zh-CN"/>
        </w:rPr>
      </w:pPr>
      <w:r>
        <w:rPr>
          <w:rFonts w:hint="eastAsia"/>
          <w:lang w:val="en-US" w:eastAsia="zh-CN"/>
        </w:rPr>
        <w:t>In this contribution, we give some initial discussion on the practical spatial channel modelling methodology and other analysis.</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MIMO is one of the key enabling technologies to improve performance of the wireless communication. It employs multiple antennas both at transmitter and the receivers to enhance the data transmission rate and reliability. From the practical environment perspective, signal undergo multiple paths, fading, scatter, and other causes before reaching the receiver. Regarding the TDL channel models, the primary focus us on defining parameters related to multiple delay and Doppler characteristics that reflect the time-varying nature of the channel.</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According the following diagrams, we assume that the received signal is the superposition of multiple path rays with different delays, one tap in the following figure represents a multiple path ray in the preceding Fig. 2. The tap coefficients denote parameters such as the gain and delay of the the each ray. The spatial characteristics of channel models are indeed complex to characterize. In the context of wireless communications, these spatial attributes encompass phenomena such as the angular spread of incoming signals, the correlation between different spatial separated receivers, and the impact of the multiple propagation on signal quality at various receiver locations. A simple tapped delay line model struggles to characterize these features. This is because such a model typically represent ach multi-path component as a discrete tap with a specific delay and amplitude, without adequately considering the spatial dispersion and correlations that are inherent in complex propagation environments. To address this limitation, more advanced model, i.e. CDL channel model incorporate parameters like angle of arrival  (AOA), angle of departure (AOD), and spatial correlation matrices to better simulate real- world wireless channel. These enhanced models can provide a more accurate representation of the spatial characteristics , including how signals spread out in space and how they are received at different locations or by multiple antennas.</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554345" cy="2538095"/>
            <wp:effectExtent l="0" t="0" r="0" b="6985"/>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12"/>
                    <a:stretch>
                      <a:fillRect/>
                    </a:stretch>
                  </pic:blipFill>
                  <pic:spPr>
                    <a:xfrm>
                      <a:off x="0" y="0"/>
                      <a:ext cx="5554345" cy="2538095"/>
                    </a:xfrm>
                    <a:prstGeom prst="rect">
                      <a:avLst/>
                    </a:prstGeom>
                    <a:noFill/>
                    <a:ln w="9525">
                      <a:noFill/>
                    </a:ln>
                  </pic:spPr>
                </pic:pic>
              </a:graphicData>
            </a:graphic>
          </wp:inline>
        </w:drawing>
      </w:r>
    </w:p>
    <w:p>
      <w:pPr>
        <w:widowControl w:val="0"/>
        <w:spacing w:beforeLines="100" w:afterLines="0" w:line="240" w:lineRule="auto"/>
        <w:jc w:val="center"/>
        <w:rPr>
          <w:rFonts w:hint="eastAsia" w:cs="Times New Roman"/>
          <w:kern w:val="2"/>
          <w:sz w:val="21"/>
          <w:lang w:val="en-US" w:eastAsia="zh-CN" w:bidi="ar-SA"/>
        </w:rPr>
      </w:pPr>
      <w:r>
        <w:rPr>
          <w:rFonts w:hint="eastAsia" w:cs="Times New Roman"/>
          <w:kern w:val="2"/>
          <w:sz w:val="21"/>
          <w:lang w:val="en-US" w:eastAsia="zh-CN" w:bidi="ar-SA"/>
        </w:rPr>
        <w:t>Fig. 1. TDL principle diagram</w:t>
      </w:r>
    </w:p>
    <w:p>
      <w:pPr>
        <w:widowControl w:val="0"/>
        <w:spacing w:beforeLines="100" w:afterLines="0" w:line="240" w:lineRule="auto"/>
        <w:jc w:val="center"/>
        <w:rPr>
          <w:rFonts w:hint="default" w:cs="Times New Roman"/>
          <w:kern w:val="2"/>
          <w:sz w:val="21"/>
          <w:lang w:val="en-US" w:eastAsia="zh-CN" w:bidi="ar-SA"/>
        </w:rPr>
      </w:pP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402070" cy="1150620"/>
            <wp:effectExtent l="0" t="0" r="13970" b="762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3"/>
                    <a:stretch>
                      <a:fillRect/>
                    </a:stretch>
                  </pic:blipFill>
                  <pic:spPr>
                    <a:xfrm>
                      <a:off x="0" y="0"/>
                      <a:ext cx="6402070" cy="1150620"/>
                    </a:xfrm>
                    <a:prstGeom prst="rect">
                      <a:avLst/>
                    </a:prstGeom>
                    <a:noFill/>
                    <a:ln w="9525">
                      <a:noFill/>
                    </a:ln>
                  </pic:spPr>
                </pic:pic>
              </a:graphicData>
            </a:graphic>
          </wp:inline>
        </w:drawing>
      </w:r>
    </w:p>
    <w:p>
      <w:pPr>
        <w:keepNext w:val="0"/>
        <w:keepLines w:val="0"/>
        <w:widowControl/>
        <w:suppressLineNumbers w:val="0"/>
        <w:jc w:val="center"/>
        <w:rPr>
          <w:rFonts w:hint="eastAsia" w:cs="Times New Roman"/>
          <w:kern w:val="2"/>
          <w:sz w:val="21"/>
          <w:lang w:val="en-US" w:eastAsia="zh-CN" w:bidi="ar-SA"/>
        </w:rPr>
      </w:pPr>
      <w:r>
        <w:rPr>
          <w:rFonts w:hint="eastAsia" w:cs="Times New Roman"/>
          <w:kern w:val="2"/>
          <w:sz w:val="21"/>
          <w:lang w:val="en-US" w:eastAsia="zh-CN" w:bidi="ar-SA"/>
        </w:rPr>
        <w:t>Fig. 2. TDL model diagram</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Due to the above reasons, we can assume that the channel environments experienced by signals from different MIMO layers are virtually the same. Because TDL models only provide channels which represent time and power, which no spatial component, respectively. Consequently, the gain in spatial component cannot be achieved when  RAN4 evaluating performance.</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As described in WI, in the CDL channel models , the concept of clusters is introduced. A cluster refers to a group of multi-paths that share similar AOA, AOD and delays, as illustrated in the following Fig. 3. This approach allows the model to more accurately represent the statistical properties of real-world wireless channels by considering not just individual multi-paths but also their aggregated behavior within clusters. This can be particularly useful in scenarios where signal reflections and scattering result in a few dominant clusters rather than a uniform distribution of multi-paths components. Also this design allows for better characterization of spatial correlations.</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064885" cy="3884930"/>
            <wp:effectExtent l="0" t="0" r="0" b="1270"/>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14"/>
                    <a:stretch>
                      <a:fillRect/>
                    </a:stretch>
                  </pic:blipFill>
                  <pic:spPr>
                    <a:xfrm>
                      <a:off x="0" y="0"/>
                      <a:ext cx="6064885" cy="3884930"/>
                    </a:xfrm>
                    <a:prstGeom prst="rect">
                      <a:avLst/>
                    </a:prstGeom>
                    <a:noFill/>
                    <a:ln w="9525">
                      <a:noFill/>
                    </a:ln>
                  </pic:spPr>
                </pic:pic>
              </a:graphicData>
            </a:graphic>
          </wp:inline>
        </w:drawing>
      </w:r>
    </w:p>
    <w:p>
      <w:pPr>
        <w:keepNext w:val="0"/>
        <w:keepLines w:val="0"/>
        <w:widowControl/>
        <w:suppressLineNumbers w:val="0"/>
        <w:jc w:val="center"/>
        <w:rPr>
          <w:rFonts w:hint="eastAsia" w:cs="Times New Roman"/>
          <w:kern w:val="2"/>
          <w:sz w:val="21"/>
          <w:lang w:val="en-US" w:eastAsia="zh-CN" w:bidi="ar-SA"/>
        </w:rPr>
      </w:pPr>
      <w:r>
        <w:rPr>
          <w:rFonts w:hint="eastAsia" w:cs="Times New Roman"/>
          <w:kern w:val="2"/>
          <w:sz w:val="21"/>
          <w:lang w:val="en-US" w:eastAsia="zh-CN" w:bidi="ar-SA"/>
        </w:rPr>
        <w:t>Fig. 3. TDL principle diagram</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The CDM channel model ensures that each layer has distinct performance metrics during multi-layer transmission. By accounting for clusters of multi-path components with similar characteristics, the model can simulate how signals propagate differently through various layers of a complex wireless environment. This allows for more nuanced understanding of system performance across different layers, considering factors such as channel capacity, BLER and signal strength variation.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The WI explicitly states the need to identify the limitations of the current channel models ans corresponding scenarios and how they relate to UE MIMO performance at first phase. From our understanding, RAN4 is required to investigate the whether CDL channel model introduces significant SINR value between different MIMO layers. If so, RAN4 will subsequently need to investigate the mapping relationship between MIMO layers and MCS. Because if different MIMO layers show significant difference of SINR values, which may have a considerable on the selection of MCS. Moreover, different selection approaches can also lead to variations in the final MCS choice.</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However, whether the SINR at each layer is consistent is not only related to the channel model but also depends on the type of receiver, such as ZF and MMSE receivers. The objective of the ZF equalizer is to find a matrix G such that G*H = I (where I is the identity matrix). This means the equalizer will eliminate all interference signals, ensuring that the signal received by each antenna contains information only from the desired data stream, as shown in following.</w:t>
      </w:r>
    </w:p>
    <w:p>
      <w:pPr>
        <w:widowControl w:val="0"/>
        <w:spacing w:beforeLines="100" w:afterLines="0" w:line="240" w:lineRule="auto"/>
        <w:jc w:val="both"/>
        <w:rPr>
          <w:rFonts w:hint="default" w:ascii="Calibri Light" w:hAnsi="Calibri Light" w:cs="Calibri Light"/>
          <w:i/>
          <w:iCs/>
          <w:kern w:val="2"/>
          <w:sz w:val="21"/>
          <w:lang w:val="en-US" w:eastAsia="zh-CN" w:bidi="ar-SA"/>
        </w:rPr>
      </w:pPr>
      <m:oMathPara>
        <m:oMath>
          <m:sSub>
            <m:sSubPr>
              <m:ctrlPr>
                <w:rPr>
                  <w:rFonts w:hint="default" w:ascii="Cambria Math" w:hAnsi="Cambria Math" w:cs="Times New Roman"/>
                  <w:i/>
                  <w:iCs/>
                  <w:kern w:val="2"/>
                  <w:sz w:val="21"/>
                  <w:lang w:val="en-US" w:eastAsia="zh-CN" w:bidi="ar-SA"/>
                </w:rPr>
              </m:ctrlPr>
            </m:sSubPr>
            <m:e>
              <m:r>
                <m:rPr/>
                <w:rPr>
                  <w:rFonts w:hint="default" w:ascii="Cambria Math" w:hAnsi="Cambria Math" w:cs="Times New Roman"/>
                  <w:kern w:val="2"/>
                  <w:sz w:val="21"/>
                  <w:lang w:val="en-US" w:eastAsia="zh-CN" w:bidi="ar-SA"/>
                </w:rPr>
                <m:t>G</m:t>
              </m:r>
              <m:ctrlPr>
                <w:rPr>
                  <w:rFonts w:hint="default" w:ascii="Cambria Math" w:hAnsi="Cambria Math" w:cs="Times New Roman"/>
                  <w:i/>
                  <w:iCs/>
                  <w:kern w:val="2"/>
                  <w:sz w:val="21"/>
                  <w:lang w:val="en-US" w:eastAsia="zh-CN" w:bidi="ar-SA"/>
                </w:rPr>
              </m:ctrlPr>
            </m:e>
            <m:sub>
              <m:r>
                <m:rPr/>
                <w:rPr>
                  <w:rFonts w:hint="default" w:ascii="Cambria Math" w:hAnsi="Cambria Math" w:cs="Times New Roman"/>
                  <w:kern w:val="2"/>
                  <w:sz w:val="21"/>
                  <w:lang w:val="en-US" w:eastAsia="zh-CN" w:bidi="ar-SA"/>
                </w:rPr>
                <m:t>ZF</m:t>
              </m:r>
              <m:ctrlPr>
                <w:rPr>
                  <w:rFonts w:hint="default" w:ascii="Cambria Math" w:hAnsi="Cambria Math" w:cs="Times New Roman"/>
                  <w:i/>
                  <w:iCs/>
                  <w:kern w:val="2"/>
                  <w:sz w:val="21"/>
                  <w:lang w:val="en-US" w:eastAsia="zh-CN" w:bidi="ar-SA"/>
                </w:rPr>
              </m:ctrlPr>
            </m:sub>
          </m:sSub>
          <m:r>
            <m:rPr/>
            <w:rPr>
              <w:rFonts w:hint="default" w:ascii="Cambria Math" w:hAnsi="Cambria Math" w:cs="Times New Roman"/>
              <w:kern w:val="2"/>
              <w:sz w:val="21"/>
              <w:lang w:val="en-US" w:eastAsia="zh-CN" w:bidi="ar-SA"/>
            </w:rPr>
            <m:t xml:space="preserve"> = </m:t>
          </m:r>
          <m:sSup>
            <m:sSupPr>
              <m:ctrlPr>
                <w:rPr>
                  <w:rFonts w:hint="default" w:ascii="Cambria Math" w:hAnsi="Cambria Math" w:cs="Times New Roman"/>
                  <w:i/>
                  <w:iCs/>
                  <w:kern w:val="2"/>
                  <w:sz w:val="21"/>
                  <w:lang w:val="en-US" w:eastAsia="zh-CN" w:bidi="ar-SA"/>
                </w:rPr>
              </m:ctrlPr>
            </m:sSupPr>
            <m:e>
              <m:d>
                <m:dPr>
                  <m:ctrlPr>
                    <w:rPr>
                      <w:rFonts w:hint="default" w:ascii="Cambria Math" w:hAnsi="Cambria Math" w:cs="Times New Roman"/>
                      <w:i/>
                      <w:iCs/>
                      <w:kern w:val="2"/>
                      <w:sz w:val="21"/>
                      <w:lang w:val="en-US" w:eastAsia="zh-CN" w:bidi="ar-SA"/>
                    </w:rPr>
                  </m:ctrlPr>
                </m:dPr>
                <m:e>
                  <m:sSup>
                    <m:sSupPr>
                      <m:ctrlPr>
                        <w:rPr>
                          <w:rFonts w:hint="default" w:ascii="Cambria Math" w:hAnsi="Cambria Math" w:cs="Times New Roman"/>
                          <w:i/>
                          <w:iCs/>
                          <w:kern w:val="2"/>
                          <w:sz w:val="21"/>
                          <w:lang w:val="en-US" w:eastAsia="zh-CN" w:bidi="ar-SA"/>
                        </w:rPr>
                      </m:ctrlPr>
                    </m:sSupPr>
                    <m:e>
                      <m:r>
                        <m:rPr/>
                        <w:rPr>
                          <w:rFonts w:hint="default" w:ascii="Cambria Math" w:hAnsi="Cambria Math" w:cs="Times New Roman"/>
                          <w:kern w:val="2"/>
                          <w:sz w:val="21"/>
                          <w:lang w:val="en-US" w:eastAsia="zh-CN" w:bidi="ar-SA"/>
                        </w:rPr>
                        <m:t>H</m:t>
                      </m:r>
                      <m:ctrlPr>
                        <w:rPr>
                          <w:rFonts w:hint="default" w:ascii="Cambria Math" w:hAnsi="Cambria Math" w:cs="Times New Roman"/>
                          <w:i/>
                          <w:iCs/>
                          <w:kern w:val="2"/>
                          <w:sz w:val="21"/>
                          <w:lang w:val="en-US" w:eastAsia="zh-CN" w:bidi="ar-SA"/>
                        </w:rPr>
                      </m:ctrlPr>
                    </m:e>
                    <m:sup>
                      <m:r>
                        <m:rPr/>
                        <w:rPr>
                          <w:rFonts w:hint="default" w:ascii="Cambria Math" w:hAnsi="Cambria Math" w:cs="Times New Roman"/>
                          <w:kern w:val="2"/>
                          <w:sz w:val="21"/>
                          <w:lang w:val="en-US" w:eastAsia="zh-CN" w:bidi="ar-SA"/>
                        </w:rPr>
                        <m:t>H</m:t>
                      </m:r>
                      <m:ctrlPr>
                        <w:rPr>
                          <w:rFonts w:hint="default" w:ascii="Cambria Math" w:hAnsi="Cambria Math" w:cs="Times New Roman"/>
                          <w:i/>
                          <w:iCs/>
                          <w:kern w:val="2"/>
                          <w:sz w:val="21"/>
                          <w:lang w:val="en-US" w:eastAsia="zh-CN" w:bidi="ar-SA"/>
                        </w:rPr>
                      </m:ctrlPr>
                    </m:sup>
                  </m:sSup>
                  <m:r>
                    <m:rPr/>
                    <w:rPr>
                      <w:rFonts w:hint="default" w:ascii="Cambria Math" w:hAnsi="Cambria Math" w:cs="Times New Roman"/>
                      <w:kern w:val="2"/>
                      <w:sz w:val="21"/>
                      <w:lang w:val="en-US" w:eastAsia="zh-CN" w:bidi="ar-SA"/>
                    </w:rPr>
                    <m:t>H</m:t>
                  </m:r>
                  <m:ctrlPr>
                    <w:rPr>
                      <w:rFonts w:hint="default" w:ascii="Cambria Math" w:hAnsi="Cambria Math" w:cs="Times New Roman"/>
                      <w:i/>
                      <w:iCs/>
                      <w:kern w:val="2"/>
                      <w:sz w:val="21"/>
                      <w:lang w:val="en-US" w:eastAsia="zh-CN" w:bidi="ar-SA"/>
                    </w:rPr>
                  </m:ctrlPr>
                </m:e>
              </m:d>
              <m:ctrlPr>
                <w:rPr>
                  <w:rFonts w:hint="default" w:ascii="Cambria Math" w:hAnsi="Cambria Math" w:cs="Times New Roman"/>
                  <w:i/>
                  <w:iCs/>
                  <w:kern w:val="2"/>
                  <w:sz w:val="21"/>
                  <w:lang w:val="en-US" w:eastAsia="zh-CN" w:bidi="ar-SA"/>
                </w:rPr>
              </m:ctrlPr>
            </m:e>
            <m:sup>
              <m:r>
                <m:rPr/>
                <w:rPr>
                  <w:rFonts w:hint="default" w:ascii="Cambria Math" w:hAnsi="Cambria Math" w:cs="Times New Roman"/>
                  <w:kern w:val="2"/>
                  <w:sz w:val="21"/>
                  <w:lang w:val="en-US" w:eastAsia="zh-CN" w:bidi="ar-SA"/>
                </w:rPr>
                <m:t>−1</m:t>
              </m:r>
              <m:ctrlPr>
                <w:rPr>
                  <w:rFonts w:hint="default" w:ascii="Cambria Math" w:hAnsi="Cambria Math" w:cs="Times New Roman"/>
                  <w:i/>
                  <w:iCs/>
                  <w:kern w:val="2"/>
                  <w:sz w:val="21"/>
                  <w:lang w:val="en-US" w:eastAsia="zh-CN" w:bidi="ar-SA"/>
                </w:rPr>
              </m:ctrlPr>
            </m:sup>
          </m:sSup>
          <m:sSup>
            <m:sSupPr>
              <m:ctrlPr>
                <w:rPr>
                  <w:rFonts w:hint="default" w:ascii="Cambria Math" w:hAnsi="Cambria Math" w:cs="Times New Roman"/>
                  <w:i/>
                  <w:iCs/>
                  <w:kern w:val="2"/>
                  <w:sz w:val="21"/>
                  <w:lang w:val="en-US" w:eastAsia="zh-CN" w:bidi="ar-SA"/>
                </w:rPr>
              </m:ctrlPr>
            </m:sSupPr>
            <m:e>
              <m:r>
                <m:rPr/>
                <w:rPr>
                  <w:rFonts w:hint="default" w:ascii="Cambria Math" w:hAnsi="Cambria Math" w:cs="Times New Roman"/>
                  <w:kern w:val="2"/>
                  <w:sz w:val="21"/>
                  <w:lang w:val="en-US" w:eastAsia="zh-CN" w:bidi="ar-SA"/>
                </w:rPr>
                <m:t>H</m:t>
              </m:r>
              <m:ctrlPr>
                <w:rPr>
                  <w:rFonts w:hint="default" w:ascii="Cambria Math" w:hAnsi="Cambria Math" w:cs="Times New Roman"/>
                  <w:i/>
                  <w:iCs/>
                  <w:kern w:val="2"/>
                  <w:sz w:val="21"/>
                  <w:lang w:val="en-US" w:eastAsia="zh-CN" w:bidi="ar-SA"/>
                </w:rPr>
              </m:ctrlPr>
            </m:e>
            <m:sup>
              <m:r>
                <m:rPr/>
                <w:rPr>
                  <w:rFonts w:hint="default" w:ascii="Cambria Math" w:hAnsi="Cambria Math" w:cs="Times New Roman"/>
                  <w:kern w:val="2"/>
                  <w:sz w:val="21"/>
                  <w:lang w:val="en-US" w:eastAsia="zh-CN" w:bidi="ar-SA"/>
                </w:rPr>
                <m:t>H</m:t>
              </m:r>
              <m:ctrlPr>
                <w:rPr>
                  <w:rFonts w:hint="default" w:ascii="Cambria Math" w:hAnsi="Cambria Math" w:cs="Times New Roman"/>
                  <w:i/>
                  <w:iCs/>
                  <w:kern w:val="2"/>
                  <w:sz w:val="21"/>
                  <w:lang w:val="en-US" w:eastAsia="zh-CN" w:bidi="ar-SA"/>
                </w:rPr>
              </m:ctrlPr>
            </m:sup>
          </m:sSup>
        </m:oMath>
      </m:oMathPara>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After ZF equalization, the signal power of each layer is determined by its respective channel response under conditions. Due to the theoretical elimination of all inter later interference by the ZF equalizer, the SINR of each layer is primarily determined by the noise level and the channel gain of that layer. Theoretical analysis also reveals that ZF equalization can achieve equal SINR across all layers.</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MMSE equalization can optimize the SINR across layers to a certain extent, but is does not guarantee absolute equality of the SINR among all layers. The goal of MMSE equalization is to minimize the mean square error of the output signal under conditions of noise and interference. Unlike ZF equalization, MMSE equalization takes into account not only the elimination of interference but also the impact of noise,. It design an optimal equalizer W by balancing channel interference and noise, as shown below. This matrix is calculated based on the channel matrix H , incorporating factors such as the noise covariance matrix and signal power.</w:t>
      </w:r>
    </w:p>
    <w:p>
      <w:pPr>
        <w:widowControl w:val="0"/>
        <w:spacing w:beforeLines="100" w:afterLines="0" w:line="240" w:lineRule="auto"/>
        <w:jc w:val="both"/>
        <w:rPr>
          <w:rFonts w:hint="default" w:cs="Times New Roman"/>
          <w:i/>
          <w:iCs/>
          <w:kern w:val="2"/>
          <w:sz w:val="21"/>
          <w:lang w:val="en-US" w:eastAsia="zh-CN" w:bidi="ar-SA"/>
        </w:rPr>
      </w:pPr>
      <m:oMathPara>
        <m:oMath>
          <m:r>
            <m:rPr/>
            <w:rPr>
              <w:rFonts w:hint="default" w:ascii="Cambria Math" w:hAnsi="Cambria Math" w:cs="Times New Roman"/>
              <w:kern w:val="2"/>
              <w:sz w:val="21"/>
              <w:lang w:val="en-US" w:eastAsia="zh-CN" w:bidi="ar-SA"/>
            </w:rPr>
            <m:t>W =</m:t>
          </m:r>
          <m:sSup>
            <m:sSupPr>
              <m:ctrlPr>
                <w:rPr>
                  <w:rFonts w:hint="default" w:ascii="Cambria Math" w:hAnsi="Cambria Math" w:cs="Times New Roman"/>
                  <w:i/>
                  <w:iCs/>
                  <w:kern w:val="2"/>
                  <w:sz w:val="21"/>
                  <w:lang w:val="en-US" w:eastAsia="zh-CN" w:bidi="ar-SA"/>
                </w:rPr>
              </m:ctrlPr>
            </m:sSupPr>
            <m:e>
              <m:r>
                <m:rPr/>
                <w:rPr>
                  <w:rFonts w:hint="default" w:ascii="Cambria Math" w:hAnsi="Cambria Math" w:cs="Times New Roman"/>
                  <w:kern w:val="2"/>
                  <w:sz w:val="21"/>
                  <w:lang w:val="en-US" w:eastAsia="zh-CN" w:bidi="ar-SA"/>
                </w:rPr>
                <m:t>(</m:t>
              </m:r>
              <m:sSup>
                <m:sSupPr>
                  <m:ctrlPr>
                    <w:rPr>
                      <w:rFonts w:hint="default" w:ascii="Cambria Math" w:hAnsi="Cambria Math" w:cs="Times New Roman"/>
                      <w:i/>
                      <w:iCs/>
                      <w:kern w:val="2"/>
                      <w:sz w:val="21"/>
                      <w:lang w:val="en-US" w:eastAsia="zh-CN" w:bidi="ar-SA"/>
                    </w:rPr>
                  </m:ctrlPr>
                </m:sSupPr>
                <m:e>
                  <m:r>
                    <m:rPr/>
                    <w:rPr>
                      <w:rFonts w:hint="default" w:ascii="Cambria Math" w:hAnsi="Cambria Math" w:cs="Times New Roman"/>
                      <w:kern w:val="2"/>
                      <w:sz w:val="21"/>
                      <w:lang w:val="en-US" w:eastAsia="zh-CN" w:bidi="ar-SA"/>
                    </w:rPr>
                    <m:t>H</m:t>
                  </m:r>
                  <m:ctrlPr>
                    <w:rPr>
                      <w:rFonts w:hint="default" w:ascii="Cambria Math" w:hAnsi="Cambria Math" w:cs="Times New Roman"/>
                      <w:i/>
                      <w:iCs/>
                      <w:kern w:val="2"/>
                      <w:sz w:val="21"/>
                      <w:lang w:val="en-US" w:eastAsia="zh-CN" w:bidi="ar-SA"/>
                    </w:rPr>
                  </m:ctrlPr>
                </m:e>
                <m:sup>
                  <m:r>
                    <m:rPr/>
                    <w:rPr>
                      <w:rFonts w:hint="default" w:ascii="Cambria Math" w:hAnsi="Cambria Math" w:cs="Times New Roman"/>
                      <w:kern w:val="2"/>
                      <w:sz w:val="21"/>
                      <w:lang w:val="en-US" w:eastAsia="zh-CN" w:bidi="ar-SA"/>
                    </w:rPr>
                    <m:t>H</m:t>
                  </m:r>
                  <m:ctrlPr>
                    <w:rPr>
                      <w:rFonts w:hint="default" w:ascii="Cambria Math" w:hAnsi="Cambria Math" w:cs="Times New Roman"/>
                      <w:i/>
                      <w:iCs/>
                      <w:kern w:val="2"/>
                      <w:sz w:val="21"/>
                      <w:lang w:val="en-US" w:eastAsia="zh-CN" w:bidi="ar-SA"/>
                    </w:rPr>
                  </m:ctrlPr>
                </m:sup>
              </m:sSup>
              <m:r>
                <m:rPr/>
                <w:rPr>
                  <w:rFonts w:hint="default" w:ascii="Cambria Math" w:hAnsi="Cambria Math" w:cs="Times New Roman"/>
                  <w:kern w:val="2"/>
                  <w:sz w:val="21"/>
                  <w:lang w:val="en-US" w:eastAsia="zh-CN" w:bidi="ar-SA"/>
                </w:rPr>
                <m:t>H+</m:t>
              </m:r>
              <m:sSubSup>
                <m:sSubSupPr>
                  <m:ctrlPr>
                    <w:rPr>
                      <w:rFonts w:hint="default" w:ascii="Cambria Math" w:hAnsi="Cambria Math" w:cs="Times New Roman"/>
                      <w:i/>
                      <w:iCs/>
                      <w:kern w:val="2"/>
                      <w:sz w:val="21"/>
                      <w:lang w:val="en-US" w:eastAsia="zh-CN" w:bidi="ar-SA"/>
                    </w:rPr>
                  </m:ctrlPr>
                </m:sSubSupPr>
                <m:e>
                  <m:r>
                    <m:rPr/>
                    <w:rPr>
                      <w:rFonts w:hint="default" w:ascii="Cambria Math" w:hAnsi="Cambria Math" w:cs="Times New Roman"/>
                      <w:kern w:val="2"/>
                      <w:sz w:val="21"/>
                      <w:lang w:val="en-US" w:bidi="ar-SA"/>
                    </w:rPr>
                    <m:t>σ</m:t>
                  </m:r>
                  <m:ctrlPr>
                    <w:rPr>
                      <w:rFonts w:hint="default" w:ascii="Cambria Math" w:hAnsi="Cambria Math" w:cs="Times New Roman"/>
                      <w:i/>
                      <w:iCs/>
                      <w:kern w:val="2"/>
                      <w:sz w:val="21"/>
                      <w:lang w:val="en-US" w:eastAsia="zh-CN" w:bidi="ar-SA"/>
                    </w:rPr>
                  </m:ctrlPr>
                </m:e>
                <m:sub>
                  <m:r>
                    <m:rPr/>
                    <w:rPr>
                      <w:rFonts w:hint="default" w:ascii="Cambria Math" w:hAnsi="Cambria Math" w:cs="Times New Roman"/>
                      <w:kern w:val="2"/>
                      <w:sz w:val="21"/>
                      <w:lang w:val="en-US" w:eastAsia="zh-CN" w:bidi="ar-SA"/>
                    </w:rPr>
                    <m:t>z</m:t>
                  </m:r>
                  <m:ctrlPr>
                    <w:rPr>
                      <w:rFonts w:hint="default" w:ascii="Cambria Math" w:hAnsi="Cambria Math" w:cs="Times New Roman"/>
                      <w:i/>
                      <w:iCs/>
                      <w:kern w:val="2"/>
                      <w:sz w:val="21"/>
                      <w:lang w:val="en-US" w:eastAsia="zh-CN" w:bidi="ar-SA"/>
                    </w:rPr>
                  </m:ctrlPr>
                </m:sub>
                <m:sup>
                  <m:r>
                    <m:rPr/>
                    <w:rPr>
                      <w:rFonts w:hint="default" w:ascii="Cambria Math" w:hAnsi="Cambria Math" w:cs="Times New Roman"/>
                      <w:kern w:val="2"/>
                      <w:sz w:val="21"/>
                      <w:lang w:val="en-US" w:eastAsia="zh-CN" w:bidi="ar-SA"/>
                    </w:rPr>
                    <m:t>2</m:t>
                  </m:r>
                  <m:ctrlPr>
                    <w:rPr>
                      <w:rFonts w:hint="default" w:ascii="Cambria Math" w:hAnsi="Cambria Math" w:cs="Times New Roman"/>
                      <w:i/>
                      <w:iCs/>
                      <w:kern w:val="2"/>
                      <w:sz w:val="21"/>
                      <w:lang w:val="en-US" w:eastAsia="zh-CN" w:bidi="ar-SA"/>
                    </w:rPr>
                  </m:ctrlPr>
                </m:sup>
              </m:sSubSup>
              <m:r>
                <m:rPr/>
                <w:rPr>
                  <w:rFonts w:hint="default" w:ascii="Cambria Math" w:hAnsi="Cambria Math" w:cs="Times New Roman"/>
                  <w:kern w:val="2"/>
                  <w:sz w:val="21"/>
                  <w:lang w:val="en-US" w:eastAsia="zh-CN" w:bidi="ar-SA"/>
                </w:rPr>
                <m:t>)</m:t>
              </m:r>
              <m:ctrlPr>
                <w:rPr>
                  <w:rFonts w:hint="default" w:ascii="Cambria Math" w:hAnsi="Cambria Math" w:cs="Times New Roman"/>
                  <w:i/>
                  <w:iCs/>
                  <w:kern w:val="2"/>
                  <w:sz w:val="21"/>
                  <w:lang w:val="en-US" w:eastAsia="zh-CN" w:bidi="ar-SA"/>
                </w:rPr>
              </m:ctrlPr>
            </m:e>
            <m:sup>
              <m:r>
                <m:rPr/>
                <w:rPr>
                  <w:rFonts w:hint="default" w:ascii="Cambria Math" w:hAnsi="Cambria Math" w:cs="Times New Roman"/>
                  <w:kern w:val="2"/>
                  <w:sz w:val="21"/>
                  <w:lang w:val="en-US" w:eastAsia="zh-CN" w:bidi="ar-SA"/>
                </w:rPr>
                <m:t>−1</m:t>
              </m:r>
              <m:ctrlPr>
                <w:rPr>
                  <w:rFonts w:hint="default" w:ascii="Cambria Math" w:hAnsi="Cambria Math" w:cs="Times New Roman"/>
                  <w:i/>
                  <w:iCs/>
                  <w:kern w:val="2"/>
                  <w:sz w:val="21"/>
                  <w:lang w:val="en-US" w:eastAsia="zh-CN" w:bidi="ar-SA"/>
                </w:rPr>
              </m:ctrlPr>
            </m:sup>
          </m:sSup>
          <m:sSup>
            <m:sSupPr>
              <m:ctrlPr>
                <w:rPr>
                  <w:rFonts w:hint="default" w:ascii="Cambria Math" w:hAnsi="Cambria Math" w:cs="Times New Roman"/>
                  <w:i/>
                  <w:iCs/>
                  <w:kern w:val="2"/>
                  <w:sz w:val="21"/>
                  <w:lang w:val="en-US" w:eastAsia="zh-CN" w:bidi="ar-SA"/>
                </w:rPr>
              </m:ctrlPr>
            </m:sSupPr>
            <m:e>
              <m:r>
                <m:rPr/>
                <w:rPr>
                  <w:rFonts w:hint="default" w:ascii="Cambria Math" w:hAnsi="Cambria Math" w:cs="Times New Roman"/>
                  <w:kern w:val="2"/>
                  <w:sz w:val="21"/>
                  <w:lang w:val="en-US" w:eastAsia="zh-CN" w:bidi="ar-SA"/>
                </w:rPr>
                <m:t>H</m:t>
              </m:r>
              <m:ctrlPr>
                <w:rPr>
                  <w:rFonts w:hint="default" w:ascii="Cambria Math" w:hAnsi="Cambria Math" w:cs="Times New Roman"/>
                  <w:i/>
                  <w:iCs/>
                  <w:kern w:val="2"/>
                  <w:sz w:val="21"/>
                  <w:lang w:val="en-US" w:eastAsia="zh-CN" w:bidi="ar-SA"/>
                </w:rPr>
              </m:ctrlPr>
            </m:e>
            <m:sup>
              <m:r>
                <m:rPr/>
                <w:rPr>
                  <w:rFonts w:hint="default" w:ascii="Cambria Math" w:hAnsi="Cambria Math" w:cs="Times New Roman"/>
                  <w:kern w:val="2"/>
                  <w:sz w:val="21"/>
                  <w:lang w:val="en-US" w:eastAsia="zh-CN" w:bidi="ar-SA"/>
                </w:rPr>
                <m:t>H</m:t>
              </m:r>
              <m:ctrlPr>
                <w:rPr>
                  <w:rFonts w:hint="default" w:ascii="Cambria Math" w:hAnsi="Cambria Math" w:cs="Times New Roman"/>
                  <w:i/>
                  <w:iCs/>
                  <w:kern w:val="2"/>
                  <w:sz w:val="21"/>
                  <w:lang w:val="en-US" w:eastAsia="zh-CN" w:bidi="ar-SA"/>
                </w:rPr>
              </m:ctrlPr>
            </m:sup>
          </m:sSup>
          <m:r>
            <m:rPr/>
            <w:rPr>
              <w:rFonts w:hint="default" w:ascii="Cambria Math" w:hAnsi="Cambria Math" w:cs="Times New Roman"/>
              <w:kern w:val="2"/>
              <w:sz w:val="21"/>
              <w:lang w:val="en-US" w:eastAsia="zh-CN" w:bidi="ar-SA"/>
            </w:rPr>
            <m:t xml:space="preserve"> </m:t>
          </m:r>
        </m:oMath>
      </m:oMathPara>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While MMSE equalization may not strictly equalize the SINR across all layers, it optimizes the SINR disrtibution among different layers by adaptive adjusting equalizer parameters, leading to an overall optimal systems performance. As illustrated above, to achieve the same SNR for each MIMO layers after equalization, one can utilize power normalization and precoding design in conjunction with an ideal equalizer for different channel models.</w:t>
      </w:r>
    </w:p>
    <w:p>
      <w:pPr>
        <w:widowControl w:val="0"/>
        <w:spacing w:beforeLines="100" w:afterLines="0" w:line="240" w:lineRule="auto"/>
        <w:jc w:val="both"/>
        <w:rPr>
          <w:rFonts w:hint="default" w:cs="Times New Roman"/>
          <w:kern w:val="2"/>
          <w:sz w:val="21"/>
          <w:lang w:val="en-US" w:eastAsia="zh-CN" w:bidi="ar-SA"/>
        </w:rPr>
      </w:pPr>
      <w:r>
        <w:rPr>
          <w:rFonts w:hint="eastAsia"/>
          <w:b/>
          <w:bCs/>
          <w:i/>
          <w:iCs/>
          <w:szCs w:val="21"/>
          <w:lang w:val="en-US" w:eastAsia="zh-CN"/>
        </w:rPr>
        <w:t>Observation 1. The SINR between MIMO layers is not only influenced by the channel model but also depends on the specific implementation of the equalizer and precoding design.</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 xml:space="preserve">On the other hand, 3GPP specs allows 5G can chose up to 2 codewords, which split up to 8 layers. Currently, The specification allows one codeword correspond to one MCS. Consequently, the rule for selecting the MCS within a codeword becomes particularly crucial. Since different MCS have varying throughput capacities, this is particular critical for communication systems. Although this is heavily related to implementation, if requirements are to be defined, the selection criteria should be clearly specified. In legacy demod requirements, RAN4 follows the assumption of RAN1, where one code corresponds to one MCS, also within each codeword, the SINR between MIMO layers is almost identical for TDL channel models.                                                 </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In summary, if RAN4 wants to analysis the MCS choice for different MIMO layers under CDL channel models, the criteria for selecting the MCS should be clearly defined. Considering the this spatial characteristic is easy to distinguish in multiple layers. RAN4 could considering multiple layers as a staring point for demod evaluation.</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2. The criteria for selecting the MCS should be clearly defined.</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3. Considering multiple layers as a correspond scenario for identification.</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Regarding the approaches for CDL models and TDL models, as previous mentioned TDL channel based on the tapped delay line model, which only needs to consider the power and delay for each multi-path. And each tap follows same or different fading distributions. To be honest, modeling of the TDL channel is relatively simpler compared to CDL. TS 38.827 introduce implementations of CDL along with the specific parameters assumptions. As shown in the WI, this can serve as a starting point. Further discussion are needed regarding detailed simulation assumptions and parameters.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Observations 4. Further discussion are needed regarding detailed simulation assumptions and parameters. </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 xml:space="preserve">The last part of WI mentioned issues related to test methodology, which including test complexity and achieves results uncertainty. We noticed that several testing methods are mentioned in TS 38.827, which including Multi-Probe Anechoic Chamber (MPAC), Radiated Two Stage (RTS) and 3D Multi-Probe Anechoic Chamber (MPAC) for FR1 and FR2. Each method has its own set of steps and implementation approaches. </w:t>
      </w:r>
      <w:r>
        <w:rPr>
          <w:rFonts w:hint="default" w:cs="Times New Roman"/>
          <w:kern w:val="2"/>
          <w:sz w:val="21"/>
          <w:lang w:eastAsia="zh-CN" w:bidi="ar-SA"/>
        </w:rPr>
        <w:t xml:space="preserve">From testing perspective, </w:t>
      </w:r>
      <w:r>
        <w:rPr>
          <w:rFonts w:hint="eastAsia" w:cs="Times New Roman"/>
          <w:kern w:val="2"/>
          <w:sz w:val="21"/>
          <w:lang w:val="en-US" w:eastAsia="zh-CN" w:bidi="ar-SA"/>
        </w:rPr>
        <w:t xml:space="preserve">RAN4 needs to study the consistence and repeatable testing method.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66235" cy="1561465"/>
            <wp:effectExtent l="0" t="0" r="9525" b="889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5"/>
                    <a:stretch>
                      <a:fillRect/>
                    </a:stretch>
                  </pic:blipFill>
                  <pic:spPr>
                    <a:xfrm>
                      <a:off x="0" y="0"/>
                      <a:ext cx="4166235" cy="1561465"/>
                    </a:xfrm>
                    <a:prstGeom prst="rect">
                      <a:avLst/>
                    </a:prstGeom>
                    <a:noFill/>
                    <a:ln w="9525">
                      <a:noFill/>
                    </a:ln>
                  </pic:spPr>
                </pic:pic>
              </a:graphicData>
            </a:graphic>
          </wp:inline>
        </w:drawing>
      </w:r>
    </w:p>
    <w:p>
      <w:pPr>
        <w:widowControl w:val="0"/>
        <w:numPr>
          <w:ilvl w:val="0"/>
          <w:numId w:val="8"/>
        </w:numPr>
        <w:spacing w:beforeLines="100" w:afterLines="0" w:line="240" w:lineRule="auto"/>
        <w:jc w:val="center"/>
        <w:rPr>
          <w:rFonts w:hint="default" w:cs="Times New Roman"/>
          <w:kern w:val="2"/>
          <w:sz w:val="21"/>
          <w:lang w:val="en-US" w:eastAsia="zh-CN" w:bidi="ar-SA"/>
        </w:rPr>
      </w:pPr>
      <w:r>
        <w:rPr>
          <w:rFonts w:hint="eastAsia" w:cs="Times New Roman"/>
          <w:kern w:val="2"/>
          <w:sz w:val="21"/>
          <w:lang w:val="en-US" w:eastAsia="zh-CN" w:bidi="ar-SA"/>
        </w:rPr>
        <w:t>Conducted testing</w:t>
      </w:r>
    </w:p>
    <w:p>
      <w:pPr>
        <w:keepNext w:val="0"/>
        <w:keepLines w:val="0"/>
        <w:widowControl/>
        <w:suppressLineNumbers w:val="0"/>
        <w:jc w:val="both"/>
        <w:rPr>
          <w:rFonts w:ascii="宋体" w:hAnsi="宋体" w:eastAsia="宋体" w:cs="宋体"/>
          <w:kern w:val="0"/>
          <w:sz w:val="24"/>
          <w:szCs w:val="24"/>
          <w:lang w:val="en-US" w:eastAsia="zh-CN" w:bidi="ar"/>
        </w:rPr>
      </w:pP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761990" cy="1811020"/>
            <wp:effectExtent l="0" t="0" r="13970" b="254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6"/>
                    <a:stretch>
                      <a:fillRect/>
                    </a:stretch>
                  </pic:blipFill>
                  <pic:spPr>
                    <a:xfrm>
                      <a:off x="0" y="0"/>
                      <a:ext cx="5761990" cy="1811020"/>
                    </a:xfrm>
                    <a:prstGeom prst="rect">
                      <a:avLst/>
                    </a:prstGeom>
                    <a:noFill/>
                    <a:ln w="9525">
                      <a:noFill/>
                    </a:ln>
                  </pic:spPr>
                </pic:pic>
              </a:graphicData>
            </a:graphic>
          </wp:inline>
        </w:drawing>
      </w:r>
    </w:p>
    <w:p>
      <w:pPr>
        <w:widowControl w:val="0"/>
        <w:numPr>
          <w:ilvl w:val="0"/>
          <w:numId w:val="8"/>
        </w:numPr>
        <w:spacing w:beforeLines="100" w:afterLines="0" w:line="240" w:lineRule="auto"/>
        <w:jc w:val="center"/>
        <w:rPr>
          <w:rFonts w:hint="default" w:cs="Times New Roman"/>
          <w:kern w:val="2"/>
          <w:sz w:val="21"/>
          <w:lang w:val="en-US" w:eastAsia="zh-CN" w:bidi="ar-SA"/>
        </w:rPr>
      </w:pPr>
      <w:r>
        <w:rPr>
          <w:rFonts w:hint="eastAsia" w:cs="Times New Roman"/>
          <w:kern w:val="2"/>
          <w:sz w:val="21"/>
          <w:lang w:val="en-US" w:eastAsia="zh-CN" w:bidi="ar-SA"/>
        </w:rPr>
        <w:t>Wireless cable testing</w:t>
      </w:r>
    </w:p>
    <w:p>
      <w:pPr>
        <w:widowControl w:val="0"/>
        <w:spacing w:beforeLines="100" w:afterLines="0" w:line="240" w:lineRule="auto"/>
        <w:jc w:val="center"/>
        <w:rPr>
          <w:rFonts w:hint="default" w:cs="Times New Roman"/>
          <w:kern w:val="2"/>
          <w:sz w:val="21"/>
          <w:lang w:val="en-US" w:eastAsia="zh-CN" w:bidi="ar-SA"/>
        </w:rPr>
      </w:pPr>
      <w:r>
        <w:rPr>
          <w:rFonts w:hint="eastAsia" w:cs="Times New Roman"/>
          <w:kern w:val="2"/>
          <w:sz w:val="21"/>
          <w:lang w:val="en-US" w:eastAsia="zh-CN" w:bidi="ar-SA"/>
        </w:rPr>
        <w:t>Fig. 4. Cable testing methods</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 xml:space="preserve">In summary, the testing methods stipulated in TR 38.827 are all geared towards FR1 and FR2 OTA testing. For FR1 conducted tests as illustrated in Fig. 4(a), RAN4 needs to develop testing methods applicable to CDL channel models. As for FR2 OTA tests, the RTS methods resembles the wireless cable testing approach depicted in Fig. 4(b). The purpose of the wireless cable connection is to enable the signals generated by the channel emulator, which are already conditioned to include the effect of the device antennas, to be directly connected to the device receiver as if through a lossless cable connection. However, this can only be done by calibrating out the impact of the signal propagation in the anechoic chamber and the impact of the receive antennas in the device. To achieve this calibration, it is necessary to measure the propagation matrix inside the anechoic chamber (dotted lines in Fig. 4b) and modify the transmitted signals by multiplying by the inverse matrix of the propagation matrix.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Observations 5. The test method can select form TS 38.827 as a starting point for research.</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6. The RTS testing method can serve as a foundational approach for wireless cable in FR2.</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w:t>
      </w:r>
      <w:r>
        <w:rPr>
          <w:rFonts w:hint="eastAsia"/>
          <w:bCs/>
          <w:kern w:val="0"/>
          <w:szCs w:val="21"/>
          <w:lang w:val="en-US" w:eastAsia="zh-CN"/>
        </w:rPr>
        <w:t xml:space="preserve"> spatial channel model for </w:t>
      </w:r>
      <w:r>
        <w:rPr>
          <w:rFonts w:hint="eastAsia"/>
          <w:bCs/>
          <w:kern w:val="0"/>
          <w:szCs w:val="21"/>
        </w:rPr>
        <w:t xml:space="preserve">demodulation </w:t>
      </w:r>
      <w:r>
        <w:rPr>
          <w:rFonts w:hint="eastAsia"/>
          <w:bCs/>
          <w:kern w:val="0"/>
          <w:szCs w:val="21"/>
          <w:lang w:val="en-US" w:eastAsia="zh-CN"/>
        </w:rPr>
        <w:t xml:space="preserve">performance </w:t>
      </w:r>
      <w:r>
        <w:rPr>
          <w:rFonts w:hint="eastAsia"/>
          <w:bCs/>
          <w:kern w:val="0"/>
          <w:szCs w:val="21"/>
        </w:rPr>
        <w:t>requirements , The conclusions are:</w:t>
      </w:r>
    </w:p>
    <w:p>
      <w:pPr>
        <w:widowControl w:val="0"/>
        <w:spacing w:beforeLines="100" w:afterLines="0" w:line="240" w:lineRule="auto"/>
        <w:jc w:val="both"/>
        <w:rPr>
          <w:rFonts w:hint="eastAsia"/>
          <w:bCs/>
          <w:kern w:val="0"/>
          <w:szCs w:val="21"/>
        </w:rPr>
      </w:pPr>
      <w:r>
        <w:rPr>
          <w:rFonts w:hint="eastAsia"/>
          <w:b/>
          <w:bCs/>
          <w:i/>
          <w:iCs/>
          <w:szCs w:val="21"/>
          <w:lang w:val="en-US" w:eastAsia="zh-CN"/>
        </w:rPr>
        <w:t>Observation 1. The SINR between MIMO layers is not only influenced by the channel model but also depends on the specific implementation of the equalizer and precoding design.</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2. The criteria for selecting the MCS should be clearly defined.</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3. Considering multiple layers as a correspond scenario for identification.</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Observations 4. Further discussion are needed regarding detailed simulation assumptions and parameters.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Observations 5. The test method can select methods form TS 38.827 as a starting point for research.</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6. The RTS testing method can serve as a foundational approach for wireless cable in FR2.</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9"/>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RP-241610, New WID: Study on spatial channel model for demodulation performance requirements, Nokia.</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auto"/>
    <w:pitch w:val="default"/>
    <w:sig w:usb0="E0002A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65C819D"/>
    <w:multiLevelType w:val="singleLevel"/>
    <w:tmpl w:val="C65C819D"/>
    <w:lvl w:ilvl="0" w:tentative="0">
      <w:start w:val="1"/>
      <w:numFmt w:val="lowerLetter"/>
      <w:suff w:val="space"/>
      <w:lvlText w:val="(%1)"/>
      <w:lvlJc w:val="left"/>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DF7173C"/>
    <w:multiLevelType w:val="multilevel"/>
    <w:tmpl w:val="2DF717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5"/>
  </w:num>
  <w:num w:numId="4">
    <w:abstractNumId w:val="6"/>
  </w:num>
  <w:num w:numId="5">
    <w:abstractNumId w:val="2"/>
  </w:num>
  <w:num w:numId="6">
    <w:abstractNumId w:val="0"/>
  </w:num>
  <w:num w:numId="7">
    <w:abstractNumId w:val="4"/>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50164B"/>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72EC0"/>
    <w:rsid w:val="104A023B"/>
    <w:rsid w:val="10505F3B"/>
    <w:rsid w:val="10547810"/>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967879"/>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5053C0"/>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34B58"/>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104F0"/>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362C"/>
    <w:rsid w:val="43874CD4"/>
    <w:rsid w:val="438E0FEA"/>
    <w:rsid w:val="439D51EA"/>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2285C"/>
    <w:rsid w:val="493E2F78"/>
    <w:rsid w:val="4948613B"/>
    <w:rsid w:val="495217DF"/>
    <w:rsid w:val="4958367A"/>
    <w:rsid w:val="496E52F3"/>
    <w:rsid w:val="49713D54"/>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C666BA"/>
    <w:rsid w:val="4AD25F33"/>
    <w:rsid w:val="4AE072CB"/>
    <w:rsid w:val="4AE1726E"/>
    <w:rsid w:val="4AE93159"/>
    <w:rsid w:val="4AF02EA1"/>
    <w:rsid w:val="4AF3575F"/>
    <w:rsid w:val="4B174032"/>
    <w:rsid w:val="4B250CF8"/>
    <w:rsid w:val="4B3E4F0D"/>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61721"/>
    <w:rsid w:val="530C0E6B"/>
    <w:rsid w:val="53123B04"/>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6011A"/>
    <w:rsid w:val="62FC691D"/>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20D5B"/>
    <w:rsid w:val="6CA41AC3"/>
    <w:rsid w:val="6CC14E69"/>
    <w:rsid w:val="6CD63FB3"/>
    <w:rsid w:val="6CD85ED6"/>
    <w:rsid w:val="6CDF67D9"/>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3075F"/>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122</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2024-08-09T12:41:26Z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